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jc w:val="center"/>
        <w:rPr>
          <w:rFonts w:ascii="Times New Roman" w:hAnsi="Times New Roman" w:cs="Times New Roman"/>
          <w:sz w:val="24"/>
          <w:szCs w:val="24"/>
        </w:rPr>
      </w:pPr>
    </w:p>
    <w:p w:rsidR="00C5093E" w:rsidRDefault="00C5093E" w:rsidP="00C5093E">
      <w:pPr>
        <w:spacing w:line="480" w:lineRule="auto"/>
        <w:jc w:val="center"/>
        <w:rPr>
          <w:rFonts w:ascii="Times New Roman" w:hAnsi="Times New Roman" w:cs="Times New Roman"/>
          <w:b/>
          <w:sz w:val="24"/>
          <w:szCs w:val="24"/>
        </w:rPr>
      </w:pPr>
    </w:p>
    <w:p w:rsidR="00C5093E" w:rsidRDefault="00C5093E" w:rsidP="00C5093E">
      <w:pPr>
        <w:spacing w:line="480" w:lineRule="auto"/>
        <w:jc w:val="center"/>
        <w:rPr>
          <w:rFonts w:ascii="Times New Roman" w:hAnsi="Times New Roman" w:cs="Times New Roman"/>
          <w:b/>
          <w:sz w:val="24"/>
          <w:szCs w:val="24"/>
        </w:rPr>
      </w:pPr>
    </w:p>
    <w:p w:rsidR="00C5093E" w:rsidRPr="00C5093E" w:rsidRDefault="00C5093E"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Ethical Decision-Making Interview Summary</w:t>
      </w:r>
    </w:p>
    <w:p w:rsidR="00C5093E" w:rsidRPr="00C5093E" w:rsidRDefault="00C5093E" w:rsidP="00C5093E">
      <w:pPr>
        <w:spacing w:line="480" w:lineRule="auto"/>
        <w:jc w:val="center"/>
        <w:rPr>
          <w:rFonts w:ascii="Times New Roman" w:hAnsi="Times New Roman" w:cs="Times New Roman"/>
          <w:sz w:val="24"/>
          <w:szCs w:val="24"/>
        </w:rPr>
      </w:pPr>
      <w:r w:rsidRPr="00C5093E">
        <w:rPr>
          <w:rFonts w:ascii="Times New Roman" w:hAnsi="Times New Roman" w:cs="Times New Roman"/>
          <w:sz w:val="24"/>
          <w:szCs w:val="24"/>
        </w:rPr>
        <w:t>Name</w:t>
      </w:r>
    </w:p>
    <w:p w:rsidR="00C5093E" w:rsidRPr="00C5093E" w:rsidRDefault="00C5093E" w:rsidP="00C5093E">
      <w:pPr>
        <w:spacing w:line="480" w:lineRule="auto"/>
        <w:jc w:val="center"/>
        <w:rPr>
          <w:rFonts w:ascii="Times New Roman" w:hAnsi="Times New Roman" w:cs="Times New Roman"/>
          <w:sz w:val="24"/>
          <w:szCs w:val="24"/>
        </w:rPr>
      </w:pPr>
      <w:r w:rsidRPr="00C5093E">
        <w:rPr>
          <w:rFonts w:ascii="Times New Roman" w:hAnsi="Times New Roman" w:cs="Times New Roman"/>
          <w:sz w:val="24"/>
          <w:szCs w:val="24"/>
        </w:rPr>
        <w:t>Institution</w:t>
      </w:r>
    </w:p>
    <w:p w:rsidR="00C5093E" w:rsidRPr="00C5093E" w:rsidRDefault="00C5093E" w:rsidP="00C5093E">
      <w:pPr>
        <w:spacing w:line="480" w:lineRule="auto"/>
        <w:jc w:val="center"/>
        <w:rPr>
          <w:rFonts w:ascii="Times New Roman" w:hAnsi="Times New Roman" w:cs="Times New Roman"/>
          <w:sz w:val="24"/>
          <w:szCs w:val="24"/>
        </w:rPr>
      </w:pPr>
      <w:r w:rsidRPr="00C5093E">
        <w:rPr>
          <w:rFonts w:ascii="Times New Roman" w:hAnsi="Times New Roman" w:cs="Times New Roman"/>
          <w:sz w:val="24"/>
          <w:szCs w:val="24"/>
        </w:rPr>
        <w:t>Date</w:t>
      </w:r>
    </w:p>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rPr>
          <w:rFonts w:ascii="Times New Roman" w:hAnsi="Times New Roman" w:cs="Times New Roman"/>
          <w:sz w:val="24"/>
          <w:szCs w:val="24"/>
        </w:rPr>
      </w:pPr>
    </w:p>
    <w:p w:rsidR="00C5093E" w:rsidRPr="00C5093E" w:rsidRDefault="00C5093E" w:rsidP="00C5093E">
      <w:pPr>
        <w:spacing w:line="480" w:lineRule="auto"/>
        <w:rPr>
          <w:rFonts w:ascii="Times New Roman" w:hAnsi="Times New Roman" w:cs="Times New Roman"/>
          <w:sz w:val="24"/>
          <w:szCs w:val="24"/>
        </w:rPr>
      </w:pPr>
    </w:p>
    <w:p w:rsidR="00C5093E" w:rsidRDefault="00C5093E" w:rsidP="00C5093E">
      <w:pPr>
        <w:spacing w:line="480" w:lineRule="auto"/>
        <w:rPr>
          <w:rFonts w:ascii="Times New Roman" w:hAnsi="Times New Roman" w:cs="Times New Roman"/>
          <w:sz w:val="24"/>
          <w:szCs w:val="24"/>
        </w:rPr>
      </w:pPr>
    </w:p>
    <w:p w:rsidR="00C5093E" w:rsidRDefault="00C5093E" w:rsidP="00C5093E">
      <w:pPr>
        <w:spacing w:line="480" w:lineRule="auto"/>
        <w:rPr>
          <w:rFonts w:ascii="Times New Roman" w:hAnsi="Times New Roman" w:cs="Times New Roman"/>
          <w:sz w:val="24"/>
          <w:szCs w:val="24"/>
        </w:rPr>
      </w:pPr>
    </w:p>
    <w:p w:rsidR="00C5093E" w:rsidRDefault="00C5093E" w:rsidP="00C5093E">
      <w:pPr>
        <w:spacing w:line="480" w:lineRule="auto"/>
        <w:rPr>
          <w:rFonts w:ascii="Times New Roman" w:hAnsi="Times New Roman" w:cs="Times New Roman"/>
          <w:sz w:val="24"/>
          <w:szCs w:val="24"/>
        </w:rPr>
      </w:pP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lastRenderedPageBreak/>
        <w:t>Ethical Decision-Making Interview Summary</w:t>
      </w: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Introduction</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The selected case study is A Son's Guilt, A Father's Wishes. The case study is about Mr. Smith, who suffered a massive stroke and was transferred from a nursing facility to a local hospital. Prior to placement at the nursing facility, Mr. Smith used to live with Mr. Curry, a close friend. Mr. Smith had an advance directive, which indicated that he did not want to be placed in a respirator. Barry, Mr. Smith's only son and child, had been estranged from his father for at least 20 years and used to live in Los Angeles</w:t>
      </w:r>
      <w:r w:rsidR="00CB6224" w:rsidRPr="00C5093E">
        <w:rPr>
          <w:rFonts w:ascii="Times New Roman" w:hAnsi="Times New Roman" w:cs="Times New Roman"/>
          <w:sz w:val="24"/>
          <w:szCs w:val="24"/>
        </w:rPr>
        <w:t xml:space="preserve"> (</w:t>
      </w:r>
      <w:r w:rsidR="00CB6224" w:rsidRPr="00CB6224">
        <w:rPr>
          <w:rFonts w:ascii="Times New Roman" w:eastAsia="Times New Roman" w:hAnsi="Times New Roman" w:cs="Times New Roman"/>
          <w:sz w:val="24"/>
          <w:szCs w:val="24"/>
        </w:rPr>
        <w:t>Pozgar</w:t>
      </w:r>
      <w:r w:rsidR="00CB6224" w:rsidRPr="00C5093E">
        <w:rPr>
          <w:rFonts w:ascii="Times New Roman" w:eastAsia="Times New Roman" w:hAnsi="Times New Roman" w:cs="Times New Roman"/>
          <w:sz w:val="24"/>
          <w:szCs w:val="24"/>
        </w:rPr>
        <w:t>, 2019)</w:t>
      </w:r>
      <w:r w:rsidRPr="00C5093E">
        <w:rPr>
          <w:rFonts w:ascii="Times New Roman" w:hAnsi="Times New Roman" w:cs="Times New Roman"/>
          <w:sz w:val="24"/>
          <w:szCs w:val="24"/>
        </w:rPr>
        <w:t xml:space="preserve">. However, when he heard that his father was feeling unwell, he promised to visit his father. The hospital staff placed Mr. Smith on a respirator contrary to the provisions of his advance directive. Mr. Curry was the legal appointee of Mr. Smith to act as his healthcare surrogate decision-maker. When Barry arrived, he informed Curry that he would be in charge of his father and that Curry's services were no longer needed. Barry informed the healthcare staff that he did not want the respirator placed on his father to be removed. Barry demanded the healthcare staff do anything possible so that he could speak with his father, but the staff insisted that nothing could be done to awaken Mr. Smith. Barry threatened to take legal action if the staff did not save his father's life. This information was shared with a healthcare professional. </w:t>
      </w: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Professional Relationships</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 xml:space="preserve">Effective professional relationships among healthcare professionals are central for the provision of safe and high-quality care services to patients, and hence there is a need to improve such relationships. One of the ways healthcare professionals can improve professional relationships with one another is through mutual respect. Notably, respect, as well as dignity, is </w:t>
      </w:r>
      <w:r w:rsidRPr="00C5093E">
        <w:rPr>
          <w:rFonts w:ascii="Times New Roman" w:hAnsi="Times New Roman" w:cs="Times New Roman"/>
          <w:sz w:val="24"/>
          <w:szCs w:val="24"/>
        </w:rPr>
        <w:lastRenderedPageBreak/>
        <w:t>among the top priorities for all healthcare professionals in the workplace</w:t>
      </w:r>
      <w:r w:rsidR="00CB6224" w:rsidRPr="00C5093E">
        <w:rPr>
          <w:rFonts w:ascii="Times New Roman" w:hAnsi="Times New Roman" w:cs="Times New Roman"/>
          <w:sz w:val="24"/>
          <w:szCs w:val="24"/>
        </w:rPr>
        <w:t xml:space="preserve"> (</w:t>
      </w:r>
      <w:r w:rsidR="00CB6224" w:rsidRPr="00CB6224">
        <w:rPr>
          <w:rFonts w:ascii="Times New Roman" w:eastAsia="Times New Roman" w:hAnsi="Times New Roman" w:cs="Times New Roman"/>
          <w:sz w:val="24"/>
          <w:szCs w:val="24"/>
        </w:rPr>
        <w:t>Joynes</w:t>
      </w:r>
      <w:r w:rsidR="00CB6224" w:rsidRPr="00C5093E">
        <w:rPr>
          <w:rFonts w:ascii="Times New Roman" w:eastAsia="Times New Roman" w:hAnsi="Times New Roman" w:cs="Times New Roman"/>
          <w:sz w:val="24"/>
          <w:szCs w:val="24"/>
        </w:rPr>
        <w:t>, 2018)</w:t>
      </w:r>
      <w:r w:rsidRPr="00C5093E">
        <w:rPr>
          <w:rFonts w:ascii="Times New Roman" w:hAnsi="Times New Roman" w:cs="Times New Roman"/>
          <w:sz w:val="24"/>
          <w:szCs w:val="24"/>
        </w:rPr>
        <w:t xml:space="preserve">.  Healthcare professionals hail from diverse backgrounds, and thus respect and dignity can be essential for holding effective and long-lasting professional relationships. Welcoming each colleague's contribution and recommendations is one of the most effective ways of demonstrating respect to one another. Healthcare professionals ought to listen and pay attention to the views of one another, even if they differ from their own views. Healthcare professionals can demonstrate respect to one another by treating colleagues with respect and empathy, ensuring fair treatment of all people, irrespective of any differences on racial, religious, or age backgrounds, shunning insults, and being conscious of body language and tone when communicating to one another. </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 xml:space="preserve">In addition, healthcare professionals can improve professional relationships with one another through open communication. Notably, information flow is an essential element of sustaining workplace relationships. By exercising open communication, healthcare professionals can be free to express their ideas. In order to ensure effective communication, healthcare professionals should have profound communication skills like active listening and empathy. Effective communication enables healthcare professionals to apprehend the emotions as well as intentions of fellow colleagues when communicating. Also, healthcare professionals can improve professional relationships with one another by cultivating trust. All effective professional relationships are centered on trust. Some of the ways through which healthcare professionals can cultivate trust in one another include being committed to work, demonstrating high standards in accomplishing all tasks, and shunning gossip.  </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 xml:space="preserve">Professional relationships between healthcare professionals and patients are also crucial for the delivery of high-quality and patient-centered care services. One of the ways through </w:t>
      </w:r>
      <w:r w:rsidRPr="00C5093E">
        <w:rPr>
          <w:rFonts w:ascii="Times New Roman" w:hAnsi="Times New Roman" w:cs="Times New Roman"/>
          <w:sz w:val="24"/>
          <w:szCs w:val="24"/>
        </w:rPr>
        <w:lastRenderedPageBreak/>
        <w:t>which healthcare professionals can improve relationships with patients is by spending more time with patients</w:t>
      </w:r>
      <w:r w:rsidR="00CB6224" w:rsidRPr="00C5093E">
        <w:rPr>
          <w:rFonts w:ascii="Times New Roman" w:hAnsi="Times New Roman" w:cs="Times New Roman"/>
          <w:sz w:val="24"/>
          <w:szCs w:val="24"/>
        </w:rPr>
        <w:t xml:space="preserve"> (</w:t>
      </w:r>
      <w:r w:rsidR="00CB6224" w:rsidRPr="00C5093E">
        <w:rPr>
          <w:rFonts w:ascii="Times New Roman" w:eastAsia="Times New Roman" w:hAnsi="Times New Roman" w:cs="Times New Roman"/>
          <w:sz w:val="24"/>
          <w:szCs w:val="24"/>
        </w:rPr>
        <w:t>Strandås</w:t>
      </w:r>
      <w:r w:rsidR="00CB6224" w:rsidRPr="00CB6224">
        <w:rPr>
          <w:rFonts w:ascii="Times New Roman" w:eastAsia="Times New Roman" w:hAnsi="Times New Roman" w:cs="Times New Roman"/>
          <w:sz w:val="24"/>
          <w:szCs w:val="24"/>
        </w:rPr>
        <w:t xml:space="preserve"> &amp; Bondas</w:t>
      </w:r>
      <w:r w:rsidR="00CB6224" w:rsidRPr="00C5093E">
        <w:rPr>
          <w:rFonts w:ascii="Times New Roman" w:eastAsia="Times New Roman" w:hAnsi="Times New Roman" w:cs="Times New Roman"/>
          <w:sz w:val="24"/>
          <w:szCs w:val="24"/>
        </w:rPr>
        <w:t>, 2018)</w:t>
      </w:r>
      <w:r w:rsidRPr="00C5093E">
        <w:rPr>
          <w:rFonts w:ascii="Times New Roman" w:hAnsi="Times New Roman" w:cs="Times New Roman"/>
          <w:sz w:val="24"/>
          <w:szCs w:val="24"/>
        </w:rPr>
        <w:t xml:space="preserve">. Dedicating time to patients creates a strong bond between healthcare professionals and patients and facilitates a better understanding of patients and their medical conditions. Besides, healthcare professionals should practice using welcoming body language while communicating and interacting with patients. A welcoming body language includes maintaining eye contact with patients, nodding appropriately to indicate that they are listening, being close to patients, avoiding distractions while communicating with patients, and giving a smile gesture when appropriate. It is also important for healthcare professionals to be empathetic to patients as a way of improving professional relationships with them. Notably, healthcare professionals should be compassionate to </w:t>
      </w:r>
      <w:r w:rsidR="00CB6224" w:rsidRPr="00C5093E">
        <w:rPr>
          <w:rFonts w:ascii="Times New Roman" w:hAnsi="Times New Roman" w:cs="Times New Roman"/>
          <w:sz w:val="24"/>
          <w:szCs w:val="24"/>
        </w:rPr>
        <w:t>patients, which imply</w:t>
      </w:r>
      <w:r w:rsidRPr="00C5093E">
        <w:rPr>
          <w:rFonts w:ascii="Times New Roman" w:hAnsi="Times New Roman" w:cs="Times New Roman"/>
          <w:sz w:val="24"/>
          <w:szCs w:val="24"/>
        </w:rPr>
        <w:t xml:space="preserve"> that they are being concerned for the welfare of the patients. Active listening is also an element of empathetic communication. This entails avoiding distractions while communicating with patients and making patients have the feeling that what they are saying is being heard.</w:t>
      </w: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Facts</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 xml:space="preserve">Objective facts refer to information that is centered on unbiased facts. Subjective facts, on the other hand, refer to information that is centered on opinions and guesswork. One of the objective facts from this case study is that the patient never wanted to be placed on a respirator. This is an objective fact because it was indicated in the patient's advance directive. The fact that Mr. Curry was the healthcare surrogate decision-maker for Mr. Smith is also an objective fact. This is so because Mr. Smith had legally appointed Mr. Curry, and this was also noted in the patient's advance directive. An example of subjective data from this case study is Barry objecting to the plan by the hospital to remove Mr. Smith from a respirator. The hospital staff decided to remove Mr. Smith from the respirator after realizing that he had opposed placement on a </w:t>
      </w:r>
      <w:r w:rsidRPr="00C5093E">
        <w:rPr>
          <w:rFonts w:ascii="Times New Roman" w:hAnsi="Times New Roman" w:cs="Times New Roman"/>
          <w:sz w:val="24"/>
          <w:szCs w:val="24"/>
        </w:rPr>
        <w:lastRenderedPageBreak/>
        <w:t xml:space="preserve">respirator, and therefore Barry's objection was based on personal opinions. In addition, Barry assuming the responsibility of being in charge of his father's health and dismissing Mr. Curry is also subjective data because Mr. Curry was the legally appointed healthcare surrogate decision-maker of Mr. Smith.    </w:t>
      </w: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Ethical and Therapeutic Considerations</w:t>
      </w:r>
    </w:p>
    <w:p w:rsidR="00CB6224"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In this case study, there is an ethical dilemma in which Mr. Smith, through his advance directive, noted that he did not want to be placed in a respirator, but his son does not want his father to be removed from the respirator so that he can bid his father goodbye. Therefore, the major ethical consideration for this case study is respecting the provisions of the advance directive of Mr. Smith. An advance directive refers to a legal document, which allows individuals to highlight their decisions and wishes in regard to end-of-life care</w:t>
      </w:r>
      <w:r w:rsidR="00CB6224" w:rsidRPr="00C5093E">
        <w:rPr>
          <w:rFonts w:ascii="Times New Roman" w:hAnsi="Times New Roman" w:cs="Times New Roman"/>
          <w:sz w:val="24"/>
          <w:szCs w:val="24"/>
        </w:rPr>
        <w:t xml:space="preserve"> (</w:t>
      </w:r>
      <w:r w:rsidR="00CB6224" w:rsidRPr="00CB6224">
        <w:rPr>
          <w:rFonts w:ascii="Times New Roman" w:eastAsia="Times New Roman" w:hAnsi="Times New Roman" w:cs="Times New Roman"/>
          <w:sz w:val="24"/>
          <w:szCs w:val="24"/>
        </w:rPr>
        <w:t>Sean Morrison</w:t>
      </w:r>
      <w:r w:rsidR="00CB6224" w:rsidRPr="00C5093E">
        <w:rPr>
          <w:rFonts w:ascii="Times New Roman" w:eastAsia="Times New Roman" w:hAnsi="Times New Roman" w:cs="Times New Roman"/>
          <w:sz w:val="24"/>
          <w:szCs w:val="24"/>
        </w:rPr>
        <w:t>, 2020)</w:t>
      </w:r>
      <w:r w:rsidRPr="00C5093E">
        <w:rPr>
          <w:rFonts w:ascii="Times New Roman" w:hAnsi="Times New Roman" w:cs="Times New Roman"/>
          <w:sz w:val="24"/>
          <w:szCs w:val="24"/>
        </w:rPr>
        <w:t xml:space="preserve">. Through an advance directive, an individual outlines their wishes to family members and friends or even healthcare professionals. The major components of an advance directive are a living will and a healthcare power of attorney. A living will contain an individual's wishes in regard to medical care. A healthcare power of attorney is the individual appointed to be in charge of all healthcare decisions when a patient is not able to speak for themselves. </w:t>
      </w:r>
    </w:p>
    <w:p w:rsidR="000C6B41"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 xml:space="preserve">In regard to this case study, there was a need to consider Mr. Smith's advance directive. For example, the advance directive provided that Mr. Smith was never to be placed in a respirator, and therefore it would be unethical for the hospital staff to act contrary to the advance directive. In addition, Mr. Smith had legally appointed Mr. Curry to be his healthcare surrogate decision-maker, and therefore the decision by Barry to assume responsibility for his father's health was unethical.  One of the therapeutic considerations for Mr. Smith was speech therapy. </w:t>
      </w:r>
      <w:r w:rsidRPr="00C5093E">
        <w:rPr>
          <w:rFonts w:ascii="Times New Roman" w:hAnsi="Times New Roman" w:cs="Times New Roman"/>
          <w:sz w:val="24"/>
          <w:szCs w:val="24"/>
        </w:rPr>
        <w:lastRenderedPageBreak/>
        <w:t>Notably, Mr. Smith was not able to speak, and thus the necessity for speech therapy. Essentially, speech therapy would have hopefully helped Mr. Smith regain his speaking or writing abilities</w:t>
      </w:r>
      <w:r w:rsidR="00CB6224" w:rsidRPr="00C5093E">
        <w:rPr>
          <w:rFonts w:ascii="Times New Roman" w:hAnsi="Times New Roman" w:cs="Times New Roman"/>
          <w:sz w:val="24"/>
          <w:szCs w:val="24"/>
        </w:rPr>
        <w:t xml:space="preserve"> (</w:t>
      </w:r>
      <w:r w:rsidR="00CB6224" w:rsidRPr="00C5093E">
        <w:rPr>
          <w:rFonts w:ascii="Times New Roman" w:eastAsia="Times New Roman" w:hAnsi="Times New Roman" w:cs="Times New Roman"/>
          <w:sz w:val="24"/>
          <w:szCs w:val="24"/>
        </w:rPr>
        <w:t>Barthels</w:t>
      </w:r>
      <w:r w:rsidR="00CB6224" w:rsidRPr="00CB6224">
        <w:rPr>
          <w:rFonts w:ascii="Times New Roman" w:eastAsia="Times New Roman" w:hAnsi="Times New Roman" w:cs="Times New Roman"/>
          <w:sz w:val="24"/>
          <w:szCs w:val="24"/>
        </w:rPr>
        <w:t xml:space="preserve"> &amp; Das</w:t>
      </w:r>
      <w:r w:rsidR="00CB6224" w:rsidRPr="00C5093E">
        <w:rPr>
          <w:rFonts w:ascii="Times New Roman" w:eastAsia="Times New Roman" w:hAnsi="Times New Roman" w:cs="Times New Roman"/>
          <w:sz w:val="24"/>
          <w:szCs w:val="24"/>
        </w:rPr>
        <w:t>, 2020</w:t>
      </w:r>
      <w:r w:rsidR="00CB6224" w:rsidRPr="00C5093E">
        <w:rPr>
          <w:rFonts w:ascii="Times New Roman" w:eastAsia="Times New Roman" w:hAnsi="Times New Roman" w:cs="Times New Roman"/>
          <w:sz w:val="24"/>
          <w:szCs w:val="24"/>
        </w:rPr>
        <w:t>)</w:t>
      </w:r>
      <w:r w:rsidRPr="00C5093E">
        <w:rPr>
          <w:rFonts w:ascii="Times New Roman" w:hAnsi="Times New Roman" w:cs="Times New Roman"/>
          <w:sz w:val="24"/>
          <w:szCs w:val="24"/>
        </w:rPr>
        <w:t xml:space="preserve">. Medication therapies would also have been important in stimulating the patient's alertness or movement. </w:t>
      </w:r>
    </w:p>
    <w:p w:rsidR="000C6B41" w:rsidRPr="00C5093E" w:rsidRDefault="000C6B41"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t>Summary and Reflection about Outcome</w:t>
      </w:r>
    </w:p>
    <w:p w:rsidR="00CB6224" w:rsidRPr="00C5093E" w:rsidRDefault="000C6B41" w:rsidP="00C5093E">
      <w:pPr>
        <w:spacing w:line="480" w:lineRule="auto"/>
        <w:ind w:firstLine="720"/>
        <w:rPr>
          <w:rFonts w:ascii="Times New Roman" w:hAnsi="Times New Roman" w:cs="Times New Roman"/>
          <w:sz w:val="24"/>
          <w:szCs w:val="24"/>
        </w:rPr>
      </w:pPr>
      <w:r w:rsidRPr="00C5093E">
        <w:rPr>
          <w:rFonts w:ascii="Times New Roman" w:hAnsi="Times New Roman" w:cs="Times New Roman"/>
          <w:sz w:val="24"/>
          <w:szCs w:val="24"/>
        </w:rPr>
        <w:t>In order to resolve the ethical dilemma in this case, there is a need for the healthcare administrator to involve the ethics committee. The ethics committee will resolve the issues raised by Barry. For example, the committee will explain to Barry that nothing can be done to get his father out of the coma. The committee will also explain all details pertaining to stroke and its health complications because the caregivers might have a hard time explaining it to him. It would also be important for the ethics committee to inform Barry that it is against his father's wish to place him in a respirator. With this in consideration, both the ethics committee and Barry would reach a consensus as well as a decision to better the health of the patient. The possible outcome for this patient would be placing him in end-of-life care. Mr. Smith seems to be at his last stages of life, and thus end-of-life care is necessary. For example, the patient may be subjected to pain management medications like ibuprofen and therapies like hot and cold compresses</w:t>
      </w:r>
      <w:r w:rsidR="00CB6224" w:rsidRPr="00C5093E">
        <w:rPr>
          <w:rFonts w:ascii="Times New Roman" w:hAnsi="Times New Roman" w:cs="Times New Roman"/>
          <w:sz w:val="24"/>
          <w:szCs w:val="24"/>
        </w:rPr>
        <w:t xml:space="preserve"> (</w:t>
      </w:r>
      <w:r w:rsidR="00CB6224" w:rsidRPr="00C5093E">
        <w:rPr>
          <w:rFonts w:ascii="Times New Roman" w:eastAsia="Times New Roman" w:hAnsi="Times New Roman" w:cs="Times New Roman"/>
          <w:sz w:val="24"/>
          <w:szCs w:val="24"/>
        </w:rPr>
        <w:t>Barthels</w:t>
      </w:r>
      <w:r w:rsidR="00CB6224" w:rsidRPr="00CB6224">
        <w:rPr>
          <w:rFonts w:ascii="Times New Roman" w:eastAsia="Times New Roman" w:hAnsi="Times New Roman" w:cs="Times New Roman"/>
          <w:sz w:val="24"/>
          <w:szCs w:val="24"/>
        </w:rPr>
        <w:t xml:space="preserve"> &amp; Das</w:t>
      </w:r>
      <w:r w:rsidR="00CB6224" w:rsidRPr="00C5093E">
        <w:rPr>
          <w:rFonts w:ascii="Times New Roman" w:eastAsia="Times New Roman" w:hAnsi="Times New Roman" w:cs="Times New Roman"/>
          <w:sz w:val="24"/>
          <w:szCs w:val="24"/>
        </w:rPr>
        <w:t>, 2020)</w:t>
      </w:r>
      <w:r w:rsidRPr="00C5093E">
        <w:rPr>
          <w:rFonts w:ascii="Times New Roman" w:hAnsi="Times New Roman" w:cs="Times New Roman"/>
          <w:sz w:val="24"/>
          <w:szCs w:val="24"/>
        </w:rPr>
        <w:t xml:space="preserve">.  </w:t>
      </w:r>
    </w:p>
    <w:p w:rsidR="00C5093E" w:rsidRDefault="00C5093E" w:rsidP="00C5093E">
      <w:pPr>
        <w:spacing w:line="480" w:lineRule="auto"/>
        <w:jc w:val="center"/>
        <w:rPr>
          <w:rFonts w:ascii="Times New Roman" w:hAnsi="Times New Roman" w:cs="Times New Roman"/>
          <w:b/>
          <w:sz w:val="24"/>
          <w:szCs w:val="24"/>
        </w:rPr>
      </w:pPr>
    </w:p>
    <w:p w:rsidR="00C5093E" w:rsidRDefault="00C5093E" w:rsidP="00C5093E">
      <w:pPr>
        <w:spacing w:line="480" w:lineRule="auto"/>
        <w:jc w:val="center"/>
        <w:rPr>
          <w:rFonts w:ascii="Times New Roman" w:hAnsi="Times New Roman" w:cs="Times New Roman"/>
          <w:b/>
          <w:sz w:val="24"/>
          <w:szCs w:val="24"/>
        </w:rPr>
      </w:pPr>
    </w:p>
    <w:p w:rsidR="00C5093E" w:rsidRDefault="00C5093E" w:rsidP="00C5093E">
      <w:pPr>
        <w:spacing w:line="480" w:lineRule="auto"/>
        <w:jc w:val="center"/>
        <w:rPr>
          <w:rFonts w:ascii="Times New Roman" w:hAnsi="Times New Roman" w:cs="Times New Roman"/>
          <w:b/>
          <w:sz w:val="24"/>
          <w:szCs w:val="24"/>
        </w:rPr>
      </w:pPr>
    </w:p>
    <w:p w:rsidR="00C5093E" w:rsidRDefault="00C5093E" w:rsidP="00C5093E">
      <w:pPr>
        <w:spacing w:line="480" w:lineRule="auto"/>
        <w:jc w:val="center"/>
        <w:rPr>
          <w:rFonts w:ascii="Times New Roman" w:hAnsi="Times New Roman" w:cs="Times New Roman"/>
          <w:b/>
          <w:sz w:val="24"/>
          <w:szCs w:val="24"/>
        </w:rPr>
      </w:pPr>
    </w:p>
    <w:p w:rsidR="00C5093E" w:rsidRPr="00CB6224" w:rsidRDefault="00CB6224" w:rsidP="00C5093E">
      <w:pPr>
        <w:spacing w:line="480" w:lineRule="auto"/>
        <w:jc w:val="center"/>
        <w:rPr>
          <w:rFonts w:ascii="Times New Roman" w:hAnsi="Times New Roman" w:cs="Times New Roman"/>
          <w:b/>
          <w:sz w:val="24"/>
          <w:szCs w:val="24"/>
        </w:rPr>
      </w:pPr>
      <w:r w:rsidRPr="00C5093E">
        <w:rPr>
          <w:rFonts w:ascii="Times New Roman" w:hAnsi="Times New Roman" w:cs="Times New Roman"/>
          <w:b/>
          <w:sz w:val="24"/>
          <w:szCs w:val="24"/>
        </w:rPr>
        <w:lastRenderedPageBreak/>
        <w:t>References</w:t>
      </w:r>
    </w:p>
    <w:p w:rsidR="00C5093E" w:rsidRPr="00C5093E" w:rsidRDefault="00C5093E" w:rsidP="00C5093E">
      <w:pPr>
        <w:spacing w:after="0" w:line="480" w:lineRule="auto"/>
        <w:ind w:left="720" w:hanging="720"/>
        <w:rPr>
          <w:rFonts w:ascii="Times New Roman" w:eastAsia="Times New Roman" w:hAnsi="Times New Roman" w:cs="Times New Roman"/>
          <w:sz w:val="24"/>
          <w:szCs w:val="24"/>
        </w:rPr>
      </w:pPr>
      <w:proofErr w:type="gramStart"/>
      <w:r w:rsidRPr="00CB6224">
        <w:rPr>
          <w:rFonts w:ascii="Times New Roman" w:eastAsia="Times New Roman" w:hAnsi="Times New Roman" w:cs="Times New Roman"/>
          <w:sz w:val="24"/>
          <w:szCs w:val="24"/>
        </w:rPr>
        <w:t>Barthels, D., &amp; Das, H. (2020).</w:t>
      </w:r>
      <w:proofErr w:type="gramEnd"/>
      <w:r w:rsidRPr="00CB6224">
        <w:rPr>
          <w:rFonts w:ascii="Times New Roman" w:eastAsia="Times New Roman" w:hAnsi="Times New Roman" w:cs="Times New Roman"/>
          <w:sz w:val="24"/>
          <w:szCs w:val="24"/>
        </w:rPr>
        <w:t xml:space="preserve"> Current advances in ischemic stroke research and therapies. </w:t>
      </w:r>
      <w:proofErr w:type="spellStart"/>
      <w:r w:rsidRPr="00CB6224">
        <w:rPr>
          <w:rFonts w:ascii="Times New Roman" w:eastAsia="Times New Roman" w:hAnsi="Times New Roman" w:cs="Times New Roman"/>
          <w:i/>
          <w:iCs/>
          <w:sz w:val="24"/>
          <w:szCs w:val="24"/>
        </w:rPr>
        <w:t>Biochimica</w:t>
      </w:r>
      <w:proofErr w:type="spellEnd"/>
      <w:r w:rsidRPr="00CB6224">
        <w:rPr>
          <w:rFonts w:ascii="Times New Roman" w:eastAsia="Times New Roman" w:hAnsi="Times New Roman" w:cs="Times New Roman"/>
          <w:i/>
          <w:iCs/>
          <w:sz w:val="24"/>
          <w:szCs w:val="24"/>
        </w:rPr>
        <w:t xml:space="preserve"> </w:t>
      </w:r>
      <w:proofErr w:type="gramStart"/>
      <w:r w:rsidRPr="00CB6224">
        <w:rPr>
          <w:rFonts w:ascii="Times New Roman" w:eastAsia="Times New Roman" w:hAnsi="Times New Roman" w:cs="Times New Roman"/>
          <w:i/>
          <w:iCs/>
          <w:sz w:val="24"/>
          <w:szCs w:val="24"/>
        </w:rPr>
        <w:t>et</w:t>
      </w:r>
      <w:proofErr w:type="gramEnd"/>
      <w:r w:rsidRPr="00CB6224">
        <w:rPr>
          <w:rFonts w:ascii="Times New Roman" w:eastAsia="Times New Roman" w:hAnsi="Times New Roman" w:cs="Times New Roman"/>
          <w:i/>
          <w:iCs/>
          <w:sz w:val="24"/>
          <w:szCs w:val="24"/>
        </w:rPr>
        <w:t xml:space="preserve"> </w:t>
      </w:r>
      <w:proofErr w:type="spellStart"/>
      <w:r w:rsidRPr="00CB6224">
        <w:rPr>
          <w:rFonts w:ascii="Times New Roman" w:eastAsia="Times New Roman" w:hAnsi="Times New Roman" w:cs="Times New Roman"/>
          <w:i/>
          <w:iCs/>
          <w:sz w:val="24"/>
          <w:szCs w:val="24"/>
        </w:rPr>
        <w:t>Biophysica</w:t>
      </w:r>
      <w:proofErr w:type="spellEnd"/>
      <w:r w:rsidRPr="00CB6224">
        <w:rPr>
          <w:rFonts w:ascii="Times New Roman" w:eastAsia="Times New Roman" w:hAnsi="Times New Roman" w:cs="Times New Roman"/>
          <w:i/>
          <w:iCs/>
          <w:sz w:val="24"/>
          <w:szCs w:val="24"/>
        </w:rPr>
        <w:t xml:space="preserve"> </w:t>
      </w:r>
      <w:proofErr w:type="spellStart"/>
      <w:r w:rsidRPr="00CB6224">
        <w:rPr>
          <w:rFonts w:ascii="Times New Roman" w:eastAsia="Times New Roman" w:hAnsi="Times New Roman" w:cs="Times New Roman"/>
          <w:i/>
          <w:iCs/>
          <w:sz w:val="24"/>
          <w:szCs w:val="24"/>
        </w:rPr>
        <w:t>Acta</w:t>
      </w:r>
      <w:proofErr w:type="spellEnd"/>
      <w:r w:rsidRPr="00CB6224">
        <w:rPr>
          <w:rFonts w:ascii="Times New Roman" w:eastAsia="Times New Roman" w:hAnsi="Times New Roman" w:cs="Times New Roman"/>
          <w:i/>
          <w:iCs/>
          <w:sz w:val="24"/>
          <w:szCs w:val="24"/>
        </w:rPr>
        <w:t xml:space="preserve"> (BBA)-Molecular Basis of Disease</w:t>
      </w:r>
      <w:r w:rsidRPr="00CB6224">
        <w:rPr>
          <w:rFonts w:ascii="Times New Roman" w:eastAsia="Times New Roman" w:hAnsi="Times New Roman" w:cs="Times New Roman"/>
          <w:sz w:val="24"/>
          <w:szCs w:val="24"/>
        </w:rPr>
        <w:t xml:space="preserve">, </w:t>
      </w:r>
      <w:r w:rsidRPr="00CB6224">
        <w:rPr>
          <w:rFonts w:ascii="Times New Roman" w:eastAsia="Times New Roman" w:hAnsi="Times New Roman" w:cs="Times New Roman"/>
          <w:i/>
          <w:iCs/>
          <w:sz w:val="24"/>
          <w:szCs w:val="24"/>
        </w:rPr>
        <w:t>1866</w:t>
      </w:r>
      <w:r w:rsidRPr="00CB6224">
        <w:rPr>
          <w:rFonts w:ascii="Times New Roman" w:eastAsia="Times New Roman" w:hAnsi="Times New Roman" w:cs="Times New Roman"/>
          <w:sz w:val="24"/>
          <w:szCs w:val="24"/>
        </w:rPr>
        <w:t>(4), 165260.</w:t>
      </w:r>
    </w:p>
    <w:p w:rsidR="00C5093E" w:rsidRPr="00CB6224" w:rsidRDefault="00C5093E" w:rsidP="00C5093E">
      <w:pPr>
        <w:spacing w:after="0" w:line="480" w:lineRule="auto"/>
        <w:ind w:left="720" w:hanging="720"/>
        <w:rPr>
          <w:rFonts w:ascii="Times New Roman" w:eastAsia="Times New Roman" w:hAnsi="Times New Roman" w:cs="Times New Roman"/>
          <w:sz w:val="24"/>
          <w:szCs w:val="24"/>
        </w:rPr>
      </w:pPr>
      <w:r w:rsidRPr="00CB6224">
        <w:rPr>
          <w:rFonts w:ascii="Times New Roman" w:eastAsia="Times New Roman" w:hAnsi="Times New Roman" w:cs="Times New Roman"/>
          <w:sz w:val="24"/>
          <w:szCs w:val="24"/>
        </w:rPr>
        <w:t xml:space="preserve">Joynes, V. C. (2018). Defining and understanding the relationship between professional identity and </w:t>
      </w:r>
      <w:proofErr w:type="spellStart"/>
      <w:r w:rsidRPr="00CB6224">
        <w:rPr>
          <w:rFonts w:ascii="Times New Roman" w:eastAsia="Times New Roman" w:hAnsi="Times New Roman" w:cs="Times New Roman"/>
          <w:sz w:val="24"/>
          <w:szCs w:val="24"/>
        </w:rPr>
        <w:t>interprofessional</w:t>
      </w:r>
      <w:proofErr w:type="spellEnd"/>
      <w:r w:rsidRPr="00CB6224">
        <w:rPr>
          <w:rFonts w:ascii="Times New Roman" w:eastAsia="Times New Roman" w:hAnsi="Times New Roman" w:cs="Times New Roman"/>
          <w:sz w:val="24"/>
          <w:szCs w:val="24"/>
        </w:rPr>
        <w:t xml:space="preserve"> responsibility: implications for educating health and social care students. </w:t>
      </w:r>
      <w:r w:rsidRPr="00CB6224">
        <w:rPr>
          <w:rFonts w:ascii="Times New Roman" w:eastAsia="Times New Roman" w:hAnsi="Times New Roman" w:cs="Times New Roman"/>
          <w:i/>
          <w:iCs/>
          <w:sz w:val="24"/>
          <w:szCs w:val="24"/>
        </w:rPr>
        <w:t>Advances in Health Sciences Education</w:t>
      </w:r>
      <w:r w:rsidRPr="00CB6224">
        <w:rPr>
          <w:rFonts w:ascii="Times New Roman" w:eastAsia="Times New Roman" w:hAnsi="Times New Roman" w:cs="Times New Roman"/>
          <w:sz w:val="24"/>
          <w:szCs w:val="24"/>
        </w:rPr>
        <w:t xml:space="preserve">, </w:t>
      </w:r>
      <w:r w:rsidRPr="00CB6224">
        <w:rPr>
          <w:rFonts w:ascii="Times New Roman" w:eastAsia="Times New Roman" w:hAnsi="Times New Roman" w:cs="Times New Roman"/>
          <w:i/>
          <w:iCs/>
          <w:sz w:val="24"/>
          <w:szCs w:val="24"/>
        </w:rPr>
        <w:t>23</w:t>
      </w:r>
      <w:r w:rsidRPr="00CB6224">
        <w:rPr>
          <w:rFonts w:ascii="Times New Roman" w:eastAsia="Times New Roman" w:hAnsi="Times New Roman" w:cs="Times New Roman"/>
          <w:sz w:val="24"/>
          <w:szCs w:val="24"/>
        </w:rPr>
        <w:t>(1), 133-149.</w:t>
      </w:r>
    </w:p>
    <w:p w:rsidR="00C5093E" w:rsidRPr="00CB6224" w:rsidRDefault="00C5093E" w:rsidP="00C5093E">
      <w:pPr>
        <w:spacing w:after="0" w:line="480" w:lineRule="auto"/>
        <w:ind w:left="720" w:hanging="720"/>
        <w:rPr>
          <w:rFonts w:ascii="Times New Roman" w:eastAsia="Times New Roman" w:hAnsi="Times New Roman" w:cs="Times New Roman"/>
          <w:sz w:val="24"/>
          <w:szCs w:val="24"/>
        </w:rPr>
      </w:pPr>
      <w:r w:rsidRPr="00CB6224">
        <w:rPr>
          <w:rFonts w:ascii="Times New Roman" w:eastAsia="Times New Roman" w:hAnsi="Times New Roman" w:cs="Times New Roman"/>
          <w:sz w:val="24"/>
          <w:szCs w:val="24"/>
        </w:rPr>
        <w:t xml:space="preserve">Pozgar, G. D. (2019). </w:t>
      </w:r>
      <w:proofErr w:type="gramStart"/>
      <w:r w:rsidRPr="00CB6224">
        <w:rPr>
          <w:rFonts w:ascii="Times New Roman" w:eastAsia="Times New Roman" w:hAnsi="Times New Roman" w:cs="Times New Roman"/>
          <w:i/>
          <w:iCs/>
          <w:sz w:val="24"/>
          <w:szCs w:val="24"/>
        </w:rPr>
        <w:t>Legal and ethical issues for health professionals</w:t>
      </w:r>
      <w:r w:rsidRPr="00CB6224">
        <w:rPr>
          <w:rFonts w:ascii="Times New Roman" w:eastAsia="Times New Roman" w:hAnsi="Times New Roman" w:cs="Times New Roman"/>
          <w:sz w:val="24"/>
          <w:szCs w:val="24"/>
        </w:rPr>
        <w:t>.</w:t>
      </w:r>
      <w:proofErr w:type="gramEnd"/>
      <w:r w:rsidRPr="00CB6224">
        <w:rPr>
          <w:rFonts w:ascii="Times New Roman" w:eastAsia="Times New Roman" w:hAnsi="Times New Roman" w:cs="Times New Roman"/>
          <w:sz w:val="24"/>
          <w:szCs w:val="24"/>
        </w:rPr>
        <w:t xml:space="preserve"> Jones &amp; Bartlett Learning.</w:t>
      </w:r>
    </w:p>
    <w:p w:rsidR="00C5093E" w:rsidRPr="00C5093E" w:rsidRDefault="00C5093E" w:rsidP="00C5093E">
      <w:pPr>
        <w:spacing w:after="0" w:line="480" w:lineRule="auto"/>
        <w:ind w:left="720" w:hanging="720"/>
        <w:rPr>
          <w:rFonts w:ascii="Times New Roman" w:eastAsia="Times New Roman" w:hAnsi="Times New Roman" w:cs="Times New Roman"/>
          <w:sz w:val="24"/>
          <w:szCs w:val="24"/>
        </w:rPr>
      </w:pPr>
      <w:r w:rsidRPr="00CB6224">
        <w:rPr>
          <w:rFonts w:ascii="Times New Roman" w:eastAsia="Times New Roman" w:hAnsi="Times New Roman" w:cs="Times New Roman"/>
          <w:sz w:val="24"/>
          <w:szCs w:val="24"/>
        </w:rPr>
        <w:t xml:space="preserve">Sean Morrison, R. (2020). Advance directives/care planning: clear, simple, and wrong. </w:t>
      </w:r>
      <w:r w:rsidRPr="00CB6224">
        <w:rPr>
          <w:rFonts w:ascii="Times New Roman" w:eastAsia="Times New Roman" w:hAnsi="Times New Roman" w:cs="Times New Roman"/>
          <w:i/>
          <w:iCs/>
          <w:sz w:val="24"/>
          <w:szCs w:val="24"/>
        </w:rPr>
        <w:t>Journal of Palliative Medicine</w:t>
      </w:r>
      <w:r w:rsidRPr="00CB6224">
        <w:rPr>
          <w:rFonts w:ascii="Times New Roman" w:eastAsia="Times New Roman" w:hAnsi="Times New Roman" w:cs="Times New Roman"/>
          <w:sz w:val="24"/>
          <w:szCs w:val="24"/>
        </w:rPr>
        <w:t xml:space="preserve">, </w:t>
      </w:r>
      <w:r w:rsidRPr="00CB6224">
        <w:rPr>
          <w:rFonts w:ascii="Times New Roman" w:eastAsia="Times New Roman" w:hAnsi="Times New Roman" w:cs="Times New Roman"/>
          <w:i/>
          <w:iCs/>
          <w:sz w:val="24"/>
          <w:szCs w:val="24"/>
        </w:rPr>
        <w:t>23</w:t>
      </w:r>
      <w:r w:rsidRPr="00CB6224">
        <w:rPr>
          <w:rFonts w:ascii="Times New Roman" w:eastAsia="Times New Roman" w:hAnsi="Times New Roman" w:cs="Times New Roman"/>
          <w:sz w:val="24"/>
          <w:szCs w:val="24"/>
        </w:rPr>
        <w:t>(7), 878-879.</w:t>
      </w:r>
    </w:p>
    <w:p w:rsidR="00C5093E" w:rsidRPr="00C5093E" w:rsidRDefault="00C5093E" w:rsidP="00C5093E">
      <w:pPr>
        <w:spacing w:after="0" w:line="480" w:lineRule="auto"/>
        <w:ind w:left="720" w:hanging="720"/>
        <w:rPr>
          <w:rFonts w:ascii="Times New Roman" w:eastAsia="Times New Roman" w:hAnsi="Times New Roman" w:cs="Times New Roman"/>
          <w:sz w:val="24"/>
          <w:szCs w:val="24"/>
        </w:rPr>
      </w:pPr>
      <w:proofErr w:type="gramStart"/>
      <w:r w:rsidRPr="00CB6224">
        <w:rPr>
          <w:rFonts w:ascii="Times New Roman" w:eastAsia="Times New Roman" w:hAnsi="Times New Roman" w:cs="Times New Roman"/>
          <w:sz w:val="24"/>
          <w:szCs w:val="24"/>
        </w:rPr>
        <w:t>Strandås, M., &amp; Bondas, T. (2018).</w:t>
      </w:r>
      <w:proofErr w:type="gramEnd"/>
      <w:r w:rsidRPr="00CB6224">
        <w:rPr>
          <w:rFonts w:ascii="Times New Roman" w:eastAsia="Times New Roman" w:hAnsi="Times New Roman" w:cs="Times New Roman"/>
          <w:sz w:val="24"/>
          <w:szCs w:val="24"/>
        </w:rPr>
        <w:t xml:space="preserve"> The nurse–patient relationship as a story of health enhancement in community care: A meta‐ethnography. </w:t>
      </w:r>
      <w:proofErr w:type="gramStart"/>
      <w:r w:rsidRPr="00CB6224">
        <w:rPr>
          <w:rFonts w:ascii="Times New Roman" w:eastAsia="Times New Roman" w:hAnsi="Times New Roman" w:cs="Times New Roman"/>
          <w:i/>
          <w:iCs/>
          <w:sz w:val="24"/>
          <w:szCs w:val="24"/>
        </w:rPr>
        <w:t>Journal of advanced nursing</w:t>
      </w:r>
      <w:r w:rsidRPr="00CB6224">
        <w:rPr>
          <w:rFonts w:ascii="Times New Roman" w:eastAsia="Times New Roman" w:hAnsi="Times New Roman" w:cs="Times New Roman"/>
          <w:sz w:val="24"/>
          <w:szCs w:val="24"/>
        </w:rPr>
        <w:t xml:space="preserve">, </w:t>
      </w:r>
      <w:r w:rsidRPr="00CB6224">
        <w:rPr>
          <w:rFonts w:ascii="Times New Roman" w:eastAsia="Times New Roman" w:hAnsi="Times New Roman" w:cs="Times New Roman"/>
          <w:i/>
          <w:iCs/>
          <w:sz w:val="24"/>
          <w:szCs w:val="24"/>
        </w:rPr>
        <w:t>74</w:t>
      </w:r>
      <w:r w:rsidRPr="00CB6224">
        <w:rPr>
          <w:rFonts w:ascii="Times New Roman" w:eastAsia="Times New Roman" w:hAnsi="Times New Roman" w:cs="Times New Roman"/>
          <w:sz w:val="24"/>
          <w:szCs w:val="24"/>
        </w:rPr>
        <w:t>(1), 11-22.</w:t>
      </w:r>
      <w:bookmarkStart w:id="0" w:name="_GoBack"/>
      <w:bookmarkEnd w:id="0"/>
      <w:proofErr w:type="gramEnd"/>
    </w:p>
    <w:p w:rsidR="00CB6224" w:rsidRPr="00CB6224" w:rsidRDefault="00CB6224" w:rsidP="00C5093E">
      <w:pPr>
        <w:spacing w:after="0" w:line="480" w:lineRule="auto"/>
        <w:rPr>
          <w:rFonts w:ascii="Times New Roman" w:eastAsia="Times New Roman" w:hAnsi="Times New Roman" w:cs="Times New Roman"/>
          <w:sz w:val="24"/>
          <w:szCs w:val="24"/>
        </w:rPr>
      </w:pPr>
    </w:p>
    <w:p w:rsidR="00CB6224" w:rsidRPr="00C5093E" w:rsidRDefault="00CB6224" w:rsidP="00C5093E">
      <w:pPr>
        <w:spacing w:line="480" w:lineRule="auto"/>
        <w:rPr>
          <w:rFonts w:ascii="Times New Roman" w:hAnsi="Times New Roman" w:cs="Times New Roman"/>
          <w:sz w:val="24"/>
          <w:szCs w:val="24"/>
        </w:rPr>
      </w:pPr>
    </w:p>
    <w:p w:rsidR="000C6B41" w:rsidRPr="00C5093E" w:rsidRDefault="000C6B41" w:rsidP="00C5093E">
      <w:pPr>
        <w:spacing w:line="480" w:lineRule="auto"/>
        <w:rPr>
          <w:rFonts w:ascii="Times New Roman" w:hAnsi="Times New Roman" w:cs="Times New Roman"/>
          <w:sz w:val="24"/>
          <w:szCs w:val="24"/>
        </w:rPr>
      </w:pPr>
      <w:r w:rsidRPr="00C5093E">
        <w:rPr>
          <w:rFonts w:ascii="Times New Roman" w:hAnsi="Times New Roman" w:cs="Times New Roman"/>
          <w:sz w:val="24"/>
          <w:szCs w:val="24"/>
        </w:rPr>
        <w:t xml:space="preserve">   </w:t>
      </w:r>
    </w:p>
    <w:p w:rsidR="00A95BA0" w:rsidRPr="00C5093E" w:rsidRDefault="000C6B41" w:rsidP="00C5093E">
      <w:pPr>
        <w:spacing w:line="480" w:lineRule="auto"/>
        <w:rPr>
          <w:rFonts w:ascii="Times New Roman" w:hAnsi="Times New Roman" w:cs="Times New Roman"/>
          <w:sz w:val="24"/>
          <w:szCs w:val="24"/>
        </w:rPr>
      </w:pPr>
      <w:r w:rsidRPr="00C5093E">
        <w:rPr>
          <w:rFonts w:ascii="Times New Roman" w:hAnsi="Times New Roman" w:cs="Times New Roman"/>
          <w:sz w:val="24"/>
          <w:szCs w:val="24"/>
        </w:rPr>
        <w:t xml:space="preserve">        </w:t>
      </w:r>
    </w:p>
    <w:sectPr w:rsidR="00A95BA0" w:rsidRPr="00C5093E" w:rsidSect="00C5093E">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FEA" w:rsidRDefault="00DC1FEA" w:rsidP="00C5093E">
      <w:pPr>
        <w:spacing w:after="0" w:line="240" w:lineRule="auto"/>
      </w:pPr>
      <w:r>
        <w:separator/>
      </w:r>
    </w:p>
  </w:endnote>
  <w:endnote w:type="continuationSeparator" w:id="0">
    <w:p w:rsidR="00DC1FEA" w:rsidRDefault="00DC1FEA" w:rsidP="00C5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FEA" w:rsidRDefault="00DC1FEA" w:rsidP="00C5093E">
      <w:pPr>
        <w:spacing w:after="0" w:line="240" w:lineRule="auto"/>
      </w:pPr>
      <w:r>
        <w:separator/>
      </w:r>
    </w:p>
  </w:footnote>
  <w:footnote w:type="continuationSeparator" w:id="0">
    <w:p w:rsidR="00DC1FEA" w:rsidRDefault="00DC1FEA" w:rsidP="00C509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93E" w:rsidRPr="00C5093E" w:rsidRDefault="00C5093E">
    <w:pPr>
      <w:pStyle w:val="Header"/>
      <w:rPr>
        <w:rFonts w:ascii="Times New Roman" w:hAnsi="Times New Roman" w:cs="Times New Roman"/>
        <w:sz w:val="24"/>
        <w:szCs w:val="24"/>
      </w:rPr>
    </w:pPr>
    <w:r>
      <w:tab/>
    </w:r>
    <w:r>
      <w:tab/>
    </w:r>
    <w:r w:rsidRPr="00C5093E">
      <w:rPr>
        <w:rFonts w:ascii="Times New Roman" w:hAnsi="Times New Roman" w:cs="Times New Roman"/>
        <w:sz w:val="24"/>
        <w:szCs w:val="24"/>
      </w:rPr>
      <w:fldChar w:fldCharType="begin"/>
    </w:r>
    <w:r w:rsidRPr="00C5093E">
      <w:rPr>
        <w:rFonts w:ascii="Times New Roman" w:hAnsi="Times New Roman" w:cs="Times New Roman"/>
        <w:sz w:val="24"/>
        <w:szCs w:val="24"/>
      </w:rPr>
      <w:instrText xml:space="preserve"> PAGE   \* MERGEFORMAT </w:instrText>
    </w:r>
    <w:r w:rsidRPr="00C5093E">
      <w:rPr>
        <w:rFonts w:ascii="Times New Roman" w:hAnsi="Times New Roman" w:cs="Times New Roman"/>
        <w:sz w:val="24"/>
        <w:szCs w:val="24"/>
      </w:rPr>
      <w:fldChar w:fldCharType="separate"/>
    </w:r>
    <w:r>
      <w:rPr>
        <w:rFonts w:ascii="Times New Roman" w:hAnsi="Times New Roman" w:cs="Times New Roman"/>
        <w:noProof/>
        <w:sz w:val="24"/>
        <w:szCs w:val="24"/>
      </w:rPr>
      <w:t>7</w:t>
    </w:r>
    <w:r w:rsidRPr="00C5093E">
      <w:rPr>
        <w:rFonts w:ascii="Times New Roman" w:hAnsi="Times New Roman" w:cs="Times New Roman"/>
        <w:noProof/>
        <w:sz w:val="24"/>
        <w:szCs w:val="24"/>
      </w:rPr>
      <w:fldChar w:fldCharType="end"/>
    </w:r>
    <w:r w:rsidRPr="00C5093E">
      <w:rPr>
        <w:rFonts w:ascii="Times New Roman" w:hAnsi="Times New Roman" w:cs="Times New Roman"/>
        <w:sz w:val="24"/>
        <w:szCs w:val="24"/>
      </w:rPr>
      <w:tab/>
    </w:r>
    <w:r w:rsidRPr="00C5093E">
      <w:rPr>
        <w:rFonts w:ascii="Times New Roman" w:hAnsi="Times New Roman" w:cs="Times New Roman"/>
        <w:sz w:val="24"/>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93E" w:rsidRPr="00C5093E" w:rsidRDefault="00C5093E">
    <w:pPr>
      <w:pStyle w:val="Header"/>
      <w:rPr>
        <w:rFonts w:ascii="Times New Roman" w:hAnsi="Times New Roman" w:cs="Times New Roman"/>
        <w:sz w:val="24"/>
        <w:szCs w:val="24"/>
      </w:rPr>
    </w:pPr>
    <w:r>
      <w:tab/>
    </w:r>
    <w:r>
      <w:tab/>
    </w:r>
    <w:r w:rsidRPr="00C5093E">
      <w:rPr>
        <w:rFonts w:ascii="Times New Roman" w:hAnsi="Times New Roman" w:cs="Times New Roman"/>
        <w:sz w:val="24"/>
        <w:szCs w:val="24"/>
      </w:rPr>
      <w:fldChar w:fldCharType="begin"/>
    </w:r>
    <w:r w:rsidRPr="00C5093E">
      <w:rPr>
        <w:rFonts w:ascii="Times New Roman" w:hAnsi="Times New Roman" w:cs="Times New Roman"/>
        <w:sz w:val="24"/>
        <w:szCs w:val="24"/>
      </w:rPr>
      <w:instrText xml:space="preserve"> PAGE   \* MERGEFORMAT </w:instrText>
    </w:r>
    <w:r w:rsidRPr="00C5093E">
      <w:rPr>
        <w:rFonts w:ascii="Times New Roman" w:hAnsi="Times New Roman" w:cs="Times New Roman"/>
        <w:sz w:val="24"/>
        <w:szCs w:val="24"/>
      </w:rPr>
      <w:fldChar w:fldCharType="separate"/>
    </w:r>
    <w:r>
      <w:rPr>
        <w:rFonts w:ascii="Times New Roman" w:hAnsi="Times New Roman" w:cs="Times New Roman"/>
        <w:noProof/>
        <w:sz w:val="24"/>
        <w:szCs w:val="24"/>
      </w:rPr>
      <w:t>1</w:t>
    </w:r>
    <w:r w:rsidRPr="00C5093E">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1C7"/>
    <w:rsid w:val="00090240"/>
    <w:rsid w:val="000C21C7"/>
    <w:rsid w:val="000C3E90"/>
    <w:rsid w:val="000C6B41"/>
    <w:rsid w:val="00135781"/>
    <w:rsid w:val="001E5684"/>
    <w:rsid w:val="002068D1"/>
    <w:rsid w:val="00254C36"/>
    <w:rsid w:val="002710C8"/>
    <w:rsid w:val="00274A19"/>
    <w:rsid w:val="002E3602"/>
    <w:rsid w:val="00435FF5"/>
    <w:rsid w:val="004974EE"/>
    <w:rsid w:val="00565790"/>
    <w:rsid w:val="005C29E3"/>
    <w:rsid w:val="00602EB3"/>
    <w:rsid w:val="00726E84"/>
    <w:rsid w:val="00727FB4"/>
    <w:rsid w:val="0076618B"/>
    <w:rsid w:val="00785A78"/>
    <w:rsid w:val="007D3924"/>
    <w:rsid w:val="009313C7"/>
    <w:rsid w:val="00A24EF4"/>
    <w:rsid w:val="00A675EA"/>
    <w:rsid w:val="00A95BA0"/>
    <w:rsid w:val="00A95FFE"/>
    <w:rsid w:val="00C460F4"/>
    <w:rsid w:val="00C5093E"/>
    <w:rsid w:val="00C62304"/>
    <w:rsid w:val="00C65E0F"/>
    <w:rsid w:val="00CB6224"/>
    <w:rsid w:val="00CD4381"/>
    <w:rsid w:val="00CF7B6B"/>
    <w:rsid w:val="00DC1FEA"/>
    <w:rsid w:val="00E10F2F"/>
    <w:rsid w:val="00ED0775"/>
    <w:rsid w:val="00F4137E"/>
    <w:rsid w:val="00F41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93E"/>
  </w:style>
  <w:style w:type="paragraph" w:styleId="Footer">
    <w:name w:val="footer"/>
    <w:basedOn w:val="Normal"/>
    <w:link w:val="FooterChar"/>
    <w:uiPriority w:val="99"/>
    <w:unhideWhenUsed/>
    <w:rsid w:val="00C50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93E"/>
  </w:style>
  <w:style w:type="paragraph" w:styleId="Footer">
    <w:name w:val="footer"/>
    <w:basedOn w:val="Normal"/>
    <w:link w:val="FooterChar"/>
    <w:uiPriority w:val="99"/>
    <w:unhideWhenUsed/>
    <w:rsid w:val="00C50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6844">
      <w:bodyDiv w:val="1"/>
      <w:marLeft w:val="0"/>
      <w:marRight w:val="0"/>
      <w:marTop w:val="0"/>
      <w:marBottom w:val="0"/>
      <w:divBdr>
        <w:top w:val="none" w:sz="0" w:space="0" w:color="auto"/>
        <w:left w:val="none" w:sz="0" w:space="0" w:color="auto"/>
        <w:bottom w:val="none" w:sz="0" w:space="0" w:color="auto"/>
        <w:right w:val="none" w:sz="0" w:space="0" w:color="auto"/>
      </w:divBdr>
      <w:divsChild>
        <w:div w:id="1715615821">
          <w:marLeft w:val="0"/>
          <w:marRight w:val="0"/>
          <w:marTop w:val="0"/>
          <w:marBottom w:val="0"/>
          <w:divBdr>
            <w:top w:val="none" w:sz="0" w:space="0" w:color="auto"/>
            <w:left w:val="none" w:sz="0" w:space="0" w:color="auto"/>
            <w:bottom w:val="none" w:sz="0" w:space="0" w:color="auto"/>
            <w:right w:val="none" w:sz="0" w:space="0" w:color="auto"/>
          </w:divBdr>
        </w:div>
      </w:divsChild>
    </w:div>
    <w:div w:id="258803918">
      <w:bodyDiv w:val="1"/>
      <w:marLeft w:val="0"/>
      <w:marRight w:val="0"/>
      <w:marTop w:val="0"/>
      <w:marBottom w:val="0"/>
      <w:divBdr>
        <w:top w:val="none" w:sz="0" w:space="0" w:color="auto"/>
        <w:left w:val="none" w:sz="0" w:space="0" w:color="auto"/>
        <w:bottom w:val="none" w:sz="0" w:space="0" w:color="auto"/>
        <w:right w:val="none" w:sz="0" w:space="0" w:color="auto"/>
      </w:divBdr>
      <w:divsChild>
        <w:div w:id="1175412836">
          <w:marLeft w:val="0"/>
          <w:marRight w:val="0"/>
          <w:marTop w:val="0"/>
          <w:marBottom w:val="0"/>
          <w:divBdr>
            <w:top w:val="none" w:sz="0" w:space="0" w:color="auto"/>
            <w:left w:val="none" w:sz="0" w:space="0" w:color="auto"/>
            <w:bottom w:val="none" w:sz="0" w:space="0" w:color="auto"/>
            <w:right w:val="none" w:sz="0" w:space="0" w:color="auto"/>
          </w:divBdr>
        </w:div>
      </w:divsChild>
    </w:div>
    <w:div w:id="1141388622">
      <w:bodyDiv w:val="1"/>
      <w:marLeft w:val="0"/>
      <w:marRight w:val="0"/>
      <w:marTop w:val="0"/>
      <w:marBottom w:val="0"/>
      <w:divBdr>
        <w:top w:val="none" w:sz="0" w:space="0" w:color="auto"/>
        <w:left w:val="none" w:sz="0" w:space="0" w:color="auto"/>
        <w:bottom w:val="none" w:sz="0" w:space="0" w:color="auto"/>
        <w:right w:val="none" w:sz="0" w:space="0" w:color="auto"/>
      </w:divBdr>
      <w:divsChild>
        <w:div w:id="2067336208">
          <w:marLeft w:val="0"/>
          <w:marRight w:val="0"/>
          <w:marTop w:val="0"/>
          <w:marBottom w:val="0"/>
          <w:divBdr>
            <w:top w:val="none" w:sz="0" w:space="0" w:color="auto"/>
            <w:left w:val="none" w:sz="0" w:space="0" w:color="auto"/>
            <w:bottom w:val="none" w:sz="0" w:space="0" w:color="auto"/>
            <w:right w:val="none" w:sz="0" w:space="0" w:color="auto"/>
          </w:divBdr>
        </w:div>
      </w:divsChild>
    </w:div>
    <w:div w:id="1152987593">
      <w:bodyDiv w:val="1"/>
      <w:marLeft w:val="0"/>
      <w:marRight w:val="0"/>
      <w:marTop w:val="0"/>
      <w:marBottom w:val="0"/>
      <w:divBdr>
        <w:top w:val="none" w:sz="0" w:space="0" w:color="auto"/>
        <w:left w:val="none" w:sz="0" w:space="0" w:color="auto"/>
        <w:bottom w:val="none" w:sz="0" w:space="0" w:color="auto"/>
        <w:right w:val="none" w:sz="0" w:space="0" w:color="auto"/>
      </w:divBdr>
      <w:divsChild>
        <w:div w:id="151915269">
          <w:marLeft w:val="0"/>
          <w:marRight w:val="0"/>
          <w:marTop w:val="0"/>
          <w:marBottom w:val="0"/>
          <w:divBdr>
            <w:top w:val="none" w:sz="0" w:space="0" w:color="auto"/>
            <w:left w:val="none" w:sz="0" w:space="0" w:color="auto"/>
            <w:bottom w:val="none" w:sz="0" w:space="0" w:color="auto"/>
            <w:right w:val="none" w:sz="0" w:space="0" w:color="auto"/>
          </w:divBdr>
        </w:div>
      </w:divsChild>
    </w:div>
    <w:div w:id="1577016033">
      <w:bodyDiv w:val="1"/>
      <w:marLeft w:val="0"/>
      <w:marRight w:val="0"/>
      <w:marTop w:val="0"/>
      <w:marBottom w:val="0"/>
      <w:divBdr>
        <w:top w:val="none" w:sz="0" w:space="0" w:color="auto"/>
        <w:left w:val="none" w:sz="0" w:space="0" w:color="auto"/>
        <w:bottom w:val="none" w:sz="0" w:space="0" w:color="auto"/>
        <w:right w:val="none" w:sz="0" w:space="0" w:color="auto"/>
      </w:divBdr>
      <w:divsChild>
        <w:div w:id="109956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85AF8-3441-4FAB-91B6-0BF169AF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2021-08-31T05:58:00Z</dcterms:created>
  <dcterms:modified xsi:type="dcterms:W3CDTF">2021-08-31T05:58:00Z</dcterms:modified>
</cp:coreProperties>
</file>